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85"/>
      </w:tblGrid>
      <w:tr w:rsidR="007C448E" w:rsidTr="00D24544">
        <w:tc>
          <w:tcPr>
            <w:tcW w:w="5475" w:type="dxa"/>
          </w:tcPr>
          <w:p w:rsidR="00EB7EBE" w:rsidRDefault="00EB7EBE" w:rsidP="00FD00FE">
            <w:pPr>
              <w:pStyle w:val="Ttulo20"/>
              <w:keepNext/>
              <w:keepLines/>
              <w:shd w:val="clear" w:color="auto" w:fill="auto"/>
              <w:spacing w:after="240" w:line="240" w:lineRule="auto"/>
              <w:ind w:right="213"/>
              <w:rPr>
                <w:rFonts w:asciiTheme="minorHAnsi" w:hAnsiTheme="minorHAnsi" w:cstheme="minorHAnsi"/>
                <w:sz w:val="32"/>
                <w:szCs w:val="24"/>
              </w:rPr>
            </w:pPr>
            <w:bookmarkStart w:id="0" w:name="bookmark0"/>
            <w:r w:rsidRPr="00FD00FE">
              <w:rPr>
                <w:rFonts w:asciiTheme="minorHAnsi" w:hAnsiTheme="minorHAnsi" w:cstheme="minorHAnsi"/>
                <w:sz w:val="32"/>
                <w:szCs w:val="24"/>
              </w:rPr>
              <w:t>Mugitzeko askatasuna</w:t>
            </w:r>
          </w:p>
          <w:p w:rsidR="00EB7EBE" w:rsidRPr="00FD00FE" w:rsidRDefault="00EB7EBE" w:rsidP="00FD00FE">
            <w:pPr>
              <w:pStyle w:val="Ttulo20"/>
              <w:keepNext/>
              <w:keepLines/>
              <w:spacing w:after="240" w:line="240" w:lineRule="auto"/>
              <w:ind w:right="21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" w:name="_GoBack"/>
            <w:bookmarkEnd w:id="1"/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Mugitzeko askatasuna Konstituzioaren 19. artikuluan jasot</w:t>
            </w:r>
            <w:r w:rsidR="00865305"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a dago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: "</w:t>
            </w:r>
            <w:r w:rsidRPr="00FD00F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Espainiarrek bizilekua askatasunez aukeratzeko eta lurralde nazionalean zirkulatzeko eskubidea dute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".</w:t>
            </w:r>
          </w:p>
          <w:p w:rsidR="00FD00FE" w:rsidRDefault="00EB7EBE" w:rsidP="00FD00FE">
            <w:pPr>
              <w:pStyle w:val="Ttulo20"/>
              <w:keepNext/>
              <w:keepLines/>
              <w:spacing w:after="240" w:line="240" w:lineRule="auto"/>
              <w:ind w:right="21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Eskubide hori murriztu ahal izateko, 55. artikulua bete beharko da: </w:t>
            </w:r>
            <w:r w:rsidRPr="00FD00F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"</w:t>
            </w:r>
            <w:r w:rsidR="00865305" w:rsidRPr="00FD00F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…s</w:t>
            </w:r>
            <w:r w:rsidRPr="00FD00F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albuespen edo setio</w:t>
            </w:r>
            <w:r w:rsidR="00865305" w:rsidRPr="00FD00F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 </w:t>
            </w:r>
            <w:r w:rsidRPr="00FD00F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egoera deklaratzea erabakitzen denean eten ahal izango dira eskubide horiek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".</w:t>
            </w:r>
          </w:p>
          <w:p w:rsidR="00EB7EBE" w:rsidRPr="00FD00FE" w:rsidRDefault="00EB7EBE" w:rsidP="00FD00FE">
            <w:pPr>
              <w:pStyle w:val="Ttulo20"/>
              <w:keepNext/>
              <w:keepLines/>
              <w:spacing w:after="240" w:line="240" w:lineRule="auto"/>
              <w:ind w:right="2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00FE">
              <w:rPr>
                <w:rFonts w:asciiTheme="minorHAnsi" w:hAnsiTheme="minorHAnsi" w:cstheme="minorHAnsi"/>
                <w:sz w:val="24"/>
                <w:szCs w:val="24"/>
              </w:rPr>
              <w:t>Salbuespen egoera hori aitortu ez dutenez, mugikortasun hori mugatzen duten beheragoko mailako arau guztiak, hala nola Eusko Jaurlaritzarenak eta Nafarroako Gobernuarenak, ez dira nahitaez bete beharrekoak.</w:t>
            </w:r>
          </w:p>
          <w:p w:rsidR="00FD00FE" w:rsidRDefault="00EB7EBE" w:rsidP="00FD00FE">
            <w:pPr>
              <w:pStyle w:val="Ttulo20"/>
              <w:keepNext/>
              <w:keepLines/>
              <w:spacing w:after="240" w:line="240" w:lineRule="auto"/>
              <w:ind w:right="21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Pertsona arduratsua naiz, eta konpromisoa hartzen dut arau horiek betetzeko, </w:t>
            </w:r>
            <w:r w:rsidR="00865305"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eta agenteek arau hauek betez gero isunik ez jartzeko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</w:p>
          <w:p w:rsidR="00FD00FE" w:rsidRDefault="00EB7EBE" w:rsidP="00FD00FE">
            <w:pPr>
              <w:pStyle w:val="Ttulo20"/>
              <w:keepNext/>
              <w:keepLines/>
              <w:spacing w:after="240" w:line="240" w:lineRule="auto"/>
              <w:ind w:right="21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Lasai gaude, ez dugu eztabaidatzen, maskara eraman behar dugula esaten badigute, erantzungo diegu ez dela derrigorrezkoa 1,5 metroko distantziari eusten badiogu, datuak emango dizkiegu eskatzen badigute, zigorrak errekurrituko dira. </w:t>
            </w:r>
          </w:p>
          <w:p w:rsidR="007C448E" w:rsidRPr="00FD00FE" w:rsidRDefault="00EB7EBE" w:rsidP="00FD00FE">
            <w:pPr>
              <w:pStyle w:val="Ttulo20"/>
              <w:keepNext/>
              <w:keepLines/>
              <w:spacing w:after="240" w:line="240" w:lineRule="auto"/>
              <w:ind w:right="21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Orain arte irabazi </w:t>
            </w:r>
            <w:r w:rsidR="00865305"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dugu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865305"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Legearekin bat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:rsidR="00FE1E60" w:rsidRPr="00FD00FE" w:rsidRDefault="00FE1E60" w:rsidP="00FD00FE">
            <w:pPr>
              <w:pStyle w:val="Ttulo20"/>
              <w:keepNext/>
              <w:keepLines/>
              <w:shd w:val="clear" w:color="auto" w:fill="auto"/>
              <w:spacing w:after="240" w:line="240" w:lineRule="auto"/>
              <w:ind w:left="262"/>
              <w:rPr>
                <w:rFonts w:asciiTheme="minorHAnsi" w:hAnsiTheme="minorHAnsi" w:cstheme="minorHAnsi"/>
                <w:sz w:val="32"/>
                <w:szCs w:val="24"/>
                <w:lang w:val="es-ES"/>
              </w:rPr>
            </w:pPr>
            <w:bookmarkStart w:id="2" w:name="bookmark2"/>
            <w:r w:rsidRPr="00FD00FE">
              <w:rPr>
                <w:rFonts w:asciiTheme="minorHAnsi" w:hAnsiTheme="minorHAnsi" w:cstheme="minorHAnsi"/>
                <w:sz w:val="32"/>
                <w:szCs w:val="24"/>
                <w:lang w:val="es-ES"/>
              </w:rPr>
              <w:t>Libertad de movimientos</w:t>
            </w:r>
          </w:p>
          <w:p w:rsidR="00B85AE6" w:rsidRPr="00FD00FE" w:rsidRDefault="00FE1E60" w:rsidP="00FD00FE">
            <w:pPr>
              <w:pStyle w:val="Ttulo10"/>
              <w:keepNext/>
              <w:keepLines/>
              <w:shd w:val="clear" w:color="auto" w:fill="auto"/>
              <w:spacing w:after="240"/>
              <w:ind w:left="26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La libertad de movimiento</w:t>
            </w:r>
            <w:r w:rsidR="00B85AE6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 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se recoge en</w:t>
            </w:r>
            <w:r w:rsidR="00B85AE6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 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el ar</w:t>
            </w:r>
            <w:r w:rsidR="00B85AE6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tí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culo 19 de la Constitución: “</w:t>
            </w:r>
            <w:r w:rsidR="00490BF2" w:rsidRPr="00FD00FE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s-ES"/>
              </w:rPr>
              <w:t>Los españoles tienen derecho a elegir libremente su residencia y a circular por el territorio nacional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”. </w:t>
            </w:r>
          </w:p>
          <w:p w:rsidR="00FD00FE" w:rsidRDefault="00FE1E60" w:rsidP="00FD00FE">
            <w:pPr>
              <w:pStyle w:val="Ttulo10"/>
              <w:keepNext/>
              <w:keepLines/>
              <w:shd w:val="clear" w:color="auto" w:fill="auto"/>
              <w:spacing w:after="240"/>
              <w:ind w:left="262"/>
              <w:jc w:val="both"/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  <w:lang w:val="es-ES_tradnl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Este derecho solo puede ser restringido si se cumple el ar</w:t>
            </w:r>
            <w:r w:rsidR="00B85AE6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tí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culo 55</w:t>
            </w:r>
            <w:r w:rsidR="00B85AE6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: “…</w:t>
            </w:r>
            <w:r w:rsidR="00B85AE6" w:rsidRPr="00FD00FE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  <w:lang w:val="es-ES_tradnl"/>
              </w:rPr>
              <w:t xml:space="preserve">podrán ser suspendidos cuando se acuerde la declaración del estado de excepción o de sitio”. </w:t>
            </w:r>
          </w:p>
          <w:p w:rsidR="00B85AE6" w:rsidRPr="00FD00FE" w:rsidRDefault="00B85AE6" w:rsidP="00FD00FE">
            <w:pPr>
              <w:pStyle w:val="Ttulo10"/>
              <w:keepNext/>
              <w:keepLines/>
              <w:shd w:val="clear" w:color="auto" w:fill="auto"/>
              <w:spacing w:after="240"/>
              <w:ind w:left="262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ES_tradnl"/>
              </w:rPr>
            </w:pPr>
            <w:r w:rsidRPr="00FD00FE">
              <w:rPr>
                <w:rFonts w:asciiTheme="minorHAnsi" w:hAnsiTheme="minorHAnsi" w:cstheme="minorHAnsi"/>
                <w:iCs/>
                <w:sz w:val="24"/>
                <w:szCs w:val="24"/>
                <w:lang w:val="es-ES_tradnl"/>
              </w:rPr>
              <w:t xml:space="preserve">Como no han declarado dicho estado de excepción, todas las normas de rango inferior como las del Gobierno Vasco y Navarro que restringen dicha movilidad no son de obligatorio cumplimiento.  </w:t>
            </w:r>
          </w:p>
          <w:p w:rsidR="00FD00FE" w:rsidRDefault="00D24544" w:rsidP="00FD00FE">
            <w:pPr>
              <w:pStyle w:val="Ttulo10"/>
              <w:keepNext/>
              <w:keepLines/>
              <w:shd w:val="clear" w:color="auto" w:fill="auto"/>
              <w:spacing w:after="240"/>
              <w:ind w:left="26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Soy u</w:t>
            </w:r>
            <w:r w:rsidR="00B85AE6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n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a persona responsable y me comprometo a cumplir estas normas al igual que los agentes a no</w:t>
            </w:r>
            <w:r w:rsid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 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sancionarme fuera de </w:t>
            </w:r>
            <w:r w:rsidR="00490BF2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é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stas</w:t>
            </w:r>
            <w:bookmarkEnd w:id="2"/>
            <w:r w:rsidR="00432B3D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. </w:t>
            </w:r>
          </w:p>
          <w:p w:rsidR="00FD00FE" w:rsidRDefault="00490BF2" w:rsidP="00FD00FE">
            <w:pPr>
              <w:pStyle w:val="Ttulo10"/>
              <w:keepNext/>
              <w:keepLines/>
              <w:shd w:val="clear" w:color="auto" w:fill="auto"/>
              <w:spacing w:after="240"/>
              <w:ind w:left="26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Estamos tranquilos, </w:t>
            </w:r>
            <w:r w:rsidR="00FE1E60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no discutimos, si nos dicen que tenemos que llevar</w:t>
            </w:r>
            <w:r w:rsidR="00B85AE6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la la mascarilla les responderemos que </w:t>
            </w:r>
            <w:r w:rsidR="00FE1E60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no es obligatoria si mantenemos 1,5 de distancia, les 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damos los datos si nos piden,</w:t>
            </w:r>
            <w:r w:rsidR="00FE1E60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 se recurrirán</w:t>
            </w: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 las sanciones</w:t>
            </w:r>
            <w:r w:rsidR="00432B3D"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 xml:space="preserve">. </w:t>
            </w:r>
          </w:p>
          <w:p w:rsidR="007C448E" w:rsidRPr="00FD00FE" w:rsidRDefault="00432B3D" w:rsidP="00FD00FE">
            <w:pPr>
              <w:pStyle w:val="Ttulo10"/>
              <w:keepNext/>
              <w:keepLines/>
              <w:shd w:val="clear" w:color="auto" w:fill="auto"/>
              <w:spacing w:after="240"/>
              <w:ind w:left="262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FD00FE">
              <w:rPr>
                <w:rFonts w:asciiTheme="minorHAnsi" w:hAnsiTheme="minorHAnsi" w:cstheme="minorHAnsi"/>
                <w:b w:val="0"/>
                <w:sz w:val="24"/>
                <w:szCs w:val="24"/>
                <w:lang w:val="es-ES"/>
              </w:rPr>
              <w:t>Hasta ahora se han ganado. Vamos con la ley.</w:t>
            </w:r>
          </w:p>
        </w:tc>
      </w:tr>
      <w:bookmarkEnd w:id="0"/>
    </w:tbl>
    <w:p w:rsidR="007E0633" w:rsidRPr="00865305" w:rsidRDefault="007E0633" w:rsidP="007C448E">
      <w:pPr>
        <w:pStyle w:val="Ttulo20"/>
        <w:keepNext/>
        <w:keepLines/>
        <w:shd w:val="clear" w:color="auto" w:fill="auto"/>
        <w:rPr>
          <w:sz w:val="2"/>
          <w:szCs w:val="2"/>
        </w:rPr>
      </w:pPr>
    </w:p>
    <w:sectPr w:rsidR="007E0633" w:rsidRPr="00865305" w:rsidSect="00FD00FE">
      <w:pgSz w:w="11900" w:h="16840"/>
      <w:pgMar w:top="1440" w:right="1080" w:bottom="1440" w:left="1080" w:header="618" w:footer="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33" w:rsidRDefault="007E0633" w:rsidP="007E0633">
      <w:r>
        <w:separator/>
      </w:r>
    </w:p>
  </w:endnote>
  <w:endnote w:type="continuationSeparator" w:id="0">
    <w:p w:rsidR="007E0633" w:rsidRDefault="007E0633" w:rsidP="007E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33" w:rsidRDefault="007E0633"/>
  </w:footnote>
  <w:footnote w:type="continuationSeparator" w:id="0">
    <w:p w:rsidR="007E0633" w:rsidRDefault="007E06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41D06"/>
    <w:multiLevelType w:val="multilevel"/>
    <w:tmpl w:val="71DC87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u-ES" w:eastAsia="eu-ES" w:bidi="eu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9D6196"/>
    <w:multiLevelType w:val="multilevel"/>
    <w:tmpl w:val="16EA5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u-ES" w:eastAsia="eu-ES" w:bidi="eu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3"/>
    <w:rsid w:val="00007055"/>
    <w:rsid w:val="000A1C64"/>
    <w:rsid w:val="002B5898"/>
    <w:rsid w:val="00432B3D"/>
    <w:rsid w:val="00490BF2"/>
    <w:rsid w:val="007C448E"/>
    <w:rsid w:val="007E0633"/>
    <w:rsid w:val="00865305"/>
    <w:rsid w:val="00B85AE6"/>
    <w:rsid w:val="00BD1D61"/>
    <w:rsid w:val="00CE31F7"/>
    <w:rsid w:val="00D24544"/>
    <w:rsid w:val="00D478C4"/>
    <w:rsid w:val="00EB7EBE"/>
    <w:rsid w:val="00FD00FE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D1A6-B1E2-4D73-80F0-55D01624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u-ES" w:eastAsia="eu-ES" w:bidi="eu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0633"/>
    <w:rPr>
      <w:color w:val="000000"/>
    </w:rPr>
  </w:style>
  <w:style w:type="paragraph" w:styleId="Ttulo5">
    <w:name w:val="heading 5"/>
    <w:basedOn w:val="Normal"/>
    <w:link w:val="Ttulo5Car"/>
    <w:uiPriority w:val="9"/>
    <w:qFormat/>
    <w:rsid w:val="00490BF2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">
    <w:name w:val="Título #2_"/>
    <w:basedOn w:val="Fuentedeprrafopredeter"/>
    <w:link w:val="Ttulo20"/>
    <w:rsid w:val="007E0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uerpodeltexto2">
    <w:name w:val="Cuerpo del texto (2)_"/>
    <w:basedOn w:val="Fuentedeprrafopredeter"/>
    <w:link w:val="Cuerpodeltexto20"/>
    <w:rsid w:val="007E0633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Cuerpodeltexto">
    <w:name w:val="Cuerpo del texto_"/>
    <w:basedOn w:val="Fuentedeprrafopredeter"/>
    <w:link w:val="Cuerpodeltexto0"/>
    <w:rsid w:val="007E0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tulo1">
    <w:name w:val="Título #1_"/>
    <w:basedOn w:val="Fuentedeprrafopredeter"/>
    <w:link w:val="Ttulo10"/>
    <w:rsid w:val="007E0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Ttulo20">
    <w:name w:val="Título #2"/>
    <w:basedOn w:val="Normal"/>
    <w:link w:val="Ttulo2"/>
    <w:rsid w:val="007E0633"/>
    <w:pPr>
      <w:shd w:val="clear" w:color="auto" w:fill="FFFFFF"/>
      <w:spacing w:after="40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uerpodeltexto20">
    <w:name w:val="Cuerpo del texto (2)"/>
    <w:basedOn w:val="Normal"/>
    <w:link w:val="Cuerpodeltexto2"/>
    <w:rsid w:val="007E0633"/>
    <w:pPr>
      <w:shd w:val="clear" w:color="auto" w:fill="FFFFFF"/>
      <w:spacing w:after="360" w:line="264" w:lineRule="auto"/>
      <w:jc w:val="both"/>
    </w:pPr>
    <w:rPr>
      <w:rFonts w:ascii="Arial" w:eastAsia="Arial" w:hAnsi="Arial" w:cs="Arial"/>
      <w:b/>
      <w:bCs/>
      <w:u w:val="single"/>
    </w:rPr>
  </w:style>
  <w:style w:type="paragraph" w:customStyle="1" w:styleId="Cuerpodeltexto0">
    <w:name w:val="Cuerpo del texto"/>
    <w:basedOn w:val="Normal"/>
    <w:link w:val="Cuerpodeltexto"/>
    <w:rsid w:val="007E0633"/>
    <w:pPr>
      <w:shd w:val="clear" w:color="auto" w:fill="FFFFFF"/>
      <w:spacing w:after="3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tulo10">
    <w:name w:val="Título #1"/>
    <w:basedOn w:val="Normal"/>
    <w:link w:val="Ttulo1"/>
    <w:rsid w:val="007E0633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Tablaconcuadrcula">
    <w:name w:val="Table Grid"/>
    <w:basedOn w:val="Tablanormal"/>
    <w:uiPriority w:val="59"/>
    <w:rsid w:val="007C44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490BF2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parrafo">
    <w:name w:val="parrafo"/>
    <w:basedOn w:val="Normal"/>
    <w:rsid w:val="00490B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arrafo2">
    <w:name w:val="parrafo_2"/>
    <w:basedOn w:val="Normal"/>
    <w:rsid w:val="00FE1E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Orri osoko argazkia</vt:lpstr>
      <vt:lpstr>Orri osoko argazkia</vt:lpstr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Orri osoko argazkia</dc:title>
  <dc:creator>Patxi</dc:creator>
  <cp:lastModifiedBy>maite olivares</cp:lastModifiedBy>
  <cp:revision>3</cp:revision>
  <cp:lastPrinted>2021-02-01T17:04:00Z</cp:lastPrinted>
  <dcterms:created xsi:type="dcterms:W3CDTF">2021-04-18T20:34:00Z</dcterms:created>
  <dcterms:modified xsi:type="dcterms:W3CDTF">2021-04-18T20:36:00Z</dcterms:modified>
</cp:coreProperties>
</file>